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1F0" w:rsidRPr="00FF3062" w:rsidRDefault="00A351F0" w:rsidP="00A351F0">
      <w:pPr>
        <w:ind w:left="-851" w:right="-897"/>
        <w:jc w:val="center"/>
        <w:rPr>
          <w:rFonts w:cs="Times New Roman"/>
          <w:b/>
          <w:color w:val="000000" w:themeColor="text1"/>
          <w:sz w:val="36"/>
          <w:szCs w:val="36"/>
        </w:rPr>
      </w:pPr>
      <w:r w:rsidRPr="00FF3062">
        <w:rPr>
          <w:rFonts w:cs="Times New Roman"/>
          <w:b/>
          <w:color w:val="000000" w:themeColor="text1"/>
          <w:sz w:val="36"/>
          <w:szCs w:val="36"/>
        </w:rPr>
        <w:t>MOUNT ORIEL MEDICAL PRACTICE</w:t>
      </w:r>
    </w:p>
    <w:p w:rsidR="00A351F0" w:rsidRPr="00A351F0" w:rsidRDefault="00A351F0" w:rsidP="00A351F0">
      <w:pPr>
        <w:ind w:left="-851" w:right="-897"/>
        <w:rPr>
          <w:rFonts w:cs="Times New Roman"/>
          <w:b/>
          <w:color w:val="000000" w:themeColor="text1"/>
          <w:sz w:val="36"/>
          <w:szCs w:val="36"/>
        </w:rPr>
      </w:pPr>
      <w:r w:rsidRPr="00FF3062">
        <w:rPr>
          <w:rFonts w:cs="Times New Roman"/>
          <w:b/>
          <w:color w:val="000000" w:themeColor="text1"/>
          <w:sz w:val="36"/>
          <w:szCs w:val="36"/>
        </w:rPr>
        <w:t xml:space="preserve">Privacy Notice – </w:t>
      </w:r>
      <w:r>
        <w:rPr>
          <w:rFonts w:cs="Times New Roman"/>
          <w:b/>
          <w:color w:val="000000" w:themeColor="text1"/>
          <w:sz w:val="36"/>
          <w:szCs w:val="36"/>
        </w:rPr>
        <w:t>Other Statutory Disclosures of Information</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3"/>
        <w:gridCol w:w="7571"/>
      </w:tblGrid>
      <w:tr w:rsidR="00A351F0" w:rsidRPr="00A351F0" w:rsidTr="00A351F0">
        <w:trPr>
          <w:trHeight w:val="300"/>
        </w:trPr>
        <w:tc>
          <w:tcPr>
            <w:tcW w:w="10774" w:type="dxa"/>
            <w:gridSpan w:val="2"/>
            <w:noWrap/>
          </w:tcPr>
          <w:p w:rsidR="00A351F0" w:rsidRPr="00A351F0" w:rsidRDefault="00A351F0" w:rsidP="00A86FF4">
            <w:pPr>
              <w:spacing w:after="0" w:line="240" w:lineRule="auto"/>
              <w:rPr>
                <w:sz w:val="24"/>
                <w:szCs w:val="24"/>
              </w:rPr>
            </w:pPr>
            <w:r w:rsidRPr="00A351F0">
              <w:rPr>
                <w:sz w:val="24"/>
                <w:szCs w:val="24"/>
              </w:rPr>
              <w:t>There are a number of other circumstances in which the Practice can be compelled by law to reveal your information to another body without your consent.  These circumstances usually are when failure to do so could lead to harm befalling you or someone else – classed as an overriding public interest. The courts, both civil and criminal, have powers to order disclosure of information in various circumstances. We are required to disclose information if ordered to do so by a judge or presiding officer of a court.</w:t>
            </w:r>
          </w:p>
          <w:p w:rsidR="00A351F0" w:rsidRPr="00A351F0" w:rsidRDefault="00A351F0" w:rsidP="00A86FF4">
            <w:pPr>
              <w:spacing w:after="0" w:line="240" w:lineRule="auto"/>
              <w:rPr>
                <w:sz w:val="24"/>
                <w:szCs w:val="24"/>
              </w:rPr>
            </w:pPr>
            <w:r w:rsidRPr="00A351F0">
              <w:rPr>
                <w:sz w:val="24"/>
                <w:szCs w:val="24"/>
              </w:rPr>
              <w:t>The General Medical Council can request access to your notes for the purpose as investigating a doctor’s fitness to practice.  The Health Service Ombudsman has similar powers to request information when investigating a complaint.</w:t>
            </w:r>
          </w:p>
          <w:p w:rsidR="00A351F0" w:rsidRPr="00A351F0" w:rsidRDefault="00A351F0" w:rsidP="00A86FF4">
            <w:pPr>
              <w:spacing w:after="0" w:line="240" w:lineRule="auto"/>
              <w:rPr>
                <w:color w:val="000000"/>
                <w:sz w:val="24"/>
                <w:szCs w:val="24"/>
                <w:lang w:eastAsia="en-GB"/>
              </w:rPr>
            </w:pPr>
          </w:p>
        </w:tc>
      </w:tr>
      <w:tr w:rsidR="00A351F0" w:rsidRPr="00A351F0" w:rsidTr="00A351F0">
        <w:trPr>
          <w:trHeight w:val="300"/>
        </w:trPr>
        <w:tc>
          <w:tcPr>
            <w:tcW w:w="3203" w:type="dxa"/>
            <w:noWrap/>
          </w:tcPr>
          <w:p w:rsidR="00A351F0" w:rsidRPr="00A351F0" w:rsidRDefault="00A351F0" w:rsidP="00A86FF4">
            <w:pPr>
              <w:spacing w:after="0" w:line="240" w:lineRule="auto"/>
              <w:rPr>
                <w:b/>
                <w:color w:val="000000"/>
                <w:sz w:val="24"/>
                <w:szCs w:val="24"/>
                <w:lang w:eastAsia="en-GB"/>
              </w:rPr>
            </w:pPr>
            <w:r w:rsidRPr="00A351F0">
              <w:rPr>
                <w:color w:val="000000"/>
                <w:sz w:val="24"/>
                <w:szCs w:val="24"/>
                <w:lang w:eastAsia="en-GB"/>
              </w:rPr>
              <w:t>1</w:t>
            </w:r>
            <w:r w:rsidRPr="00A351F0">
              <w:rPr>
                <w:b/>
                <w:color w:val="000000"/>
                <w:sz w:val="24"/>
                <w:szCs w:val="24"/>
                <w:lang w:eastAsia="en-GB"/>
              </w:rPr>
              <w:t xml:space="preserve">) Data Controller </w:t>
            </w:r>
            <w:r w:rsidRPr="00A351F0">
              <w:rPr>
                <w:color w:val="000000"/>
                <w:sz w:val="24"/>
                <w:szCs w:val="24"/>
                <w:lang w:eastAsia="en-GB"/>
              </w:rPr>
              <w:t>contact details</w:t>
            </w:r>
          </w:p>
          <w:p w:rsidR="00A351F0" w:rsidRPr="00A351F0" w:rsidRDefault="00A351F0" w:rsidP="00A86FF4">
            <w:pPr>
              <w:spacing w:after="0" w:line="240" w:lineRule="auto"/>
              <w:rPr>
                <w:color w:val="000000"/>
                <w:sz w:val="24"/>
                <w:szCs w:val="24"/>
                <w:lang w:eastAsia="en-GB"/>
              </w:rPr>
            </w:pPr>
          </w:p>
        </w:tc>
        <w:tc>
          <w:tcPr>
            <w:tcW w:w="7571" w:type="dxa"/>
            <w:noWrap/>
          </w:tcPr>
          <w:p w:rsidR="00A351F0" w:rsidRPr="00A351F0" w:rsidRDefault="00A351F0" w:rsidP="00A86FF4">
            <w:pPr>
              <w:tabs>
                <w:tab w:val="left" w:pos="684"/>
              </w:tabs>
              <w:spacing w:after="0" w:line="240" w:lineRule="auto"/>
              <w:ind w:right="-897"/>
              <w:rPr>
                <w:sz w:val="24"/>
                <w:szCs w:val="24"/>
                <w:lang w:eastAsia="en-GB"/>
              </w:rPr>
            </w:pPr>
            <w:r>
              <w:rPr>
                <w:sz w:val="24"/>
                <w:szCs w:val="24"/>
                <w:lang w:eastAsia="en-GB"/>
              </w:rPr>
              <w:t>Mrs Roberta Walsh, Practice Manager, Mount Oriel Medical Practice, Knockbreda Centre, 110 Saintfield Road, Belfast BT8 6GR Tel: 028 9070 1653</w:t>
            </w:r>
          </w:p>
          <w:p w:rsidR="00A351F0" w:rsidRPr="00A351F0" w:rsidRDefault="00A351F0" w:rsidP="00A86FF4">
            <w:pPr>
              <w:spacing w:after="0" w:line="240" w:lineRule="auto"/>
              <w:rPr>
                <w:color w:val="339966"/>
                <w:sz w:val="24"/>
                <w:szCs w:val="24"/>
                <w:lang w:eastAsia="en-GB"/>
              </w:rPr>
            </w:pPr>
          </w:p>
        </w:tc>
      </w:tr>
      <w:tr w:rsidR="00A351F0" w:rsidRPr="00A351F0" w:rsidTr="00A351F0">
        <w:trPr>
          <w:trHeight w:val="725"/>
        </w:trPr>
        <w:tc>
          <w:tcPr>
            <w:tcW w:w="3203" w:type="dxa"/>
            <w:noWrap/>
          </w:tcPr>
          <w:p w:rsidR="00A351F0" w:rsidRPr="00A351F0" w:rsidRDefault="00A351F0" w:rsidP="00A86FF4">
            <w:pPr>
              <w:spacing w:after="0" w:line="240" w:lineRule="auto"/>
              <w:rPr>
                <w:color w:val="000000"/>
                <w:sz w:val="24"/>
                <w:szCs w:val="24"/>
                <w:lang w:eastAsia="en-GB"/>
              </w:rPr>
            </w:pPr>
            <w:r w:rsidRPr="00A351F0">
              <w:rPr>
                <w:b/>
                <w:color w:val="000000"/>
                <w:sz w:val="24"/>
                <w:szCs w:val="24"/>
                <w:lang w:eastAsia="en-GB"/>
              </w:rPr>
              <w:t xml:space="preserve">2) Data Protection Officer </w:t>
            </w:r>
            <w:r w:rsidRPr="00A351F0">
              <w:rPr>
                <w:color w:val="000000"/>
                <w:sz w:val="24"/>
                <w:szCs w:val="24"/>
                <w:lang w:eastAsia="en-GB"/>
              </w:rPr>
              <w:t>contact details</w:t>
            </w:r>
          </w:p>
          <w:p w:rsidR="00A351F0" w:rsidRPr="00A351F0" w:rsidRDefault="00A351F0" w:rsidP="00A86FF4">
            <w:pPr>
              <w:spacing w:after="0" w:line="240" w:lineRule="auto"/>
              <w:rPr>
                <w:color w:val="000000"/>
                <w:sz w:val="24"/>
                <w:szCs w:val="24"/>
                <w:lang w:eastAsia="en-GB"/>
              </w:rPr>
            </w:pPr>
          </w:p>
        </w:tc>
        <w:tc>
          <w:tcPr>
            <w:tcW w:w="7571" w:type="dxa"/>
            <w:noWrap/>
          </w:tcPr>
          <w:p w:rsidR="00A351F0" w:rsidRPr="00A351F0" w:rsidRDefault="00A351F0" w:rsidP="00A351F0">
            <w:pPr>
              <w:tabs>
                <w:tab w:val="left" w:pos="684"/>
              </w:tabs>
              <w:spacing w:after="0" w:line="240" w:lineRule="auto"/>
              <w:ind w:right="-897"/>
              <w:rPr>
                <w:sz w:val="24"/>
                <w:szCs w:val="24"/>
                <w:lang w:eastAsia="en-GB"/>
              </w:rPr>
            </w:pPr>
            <w:r>
              <w:rPr>
                <w:sz w:val="24"/>
                <w:szCs w:val="24"/>
                <w:lang w:eastAsia="en-GB"/>
              </w:rPr>
              <w:t>Dr Sean Devine</w:t>
            </w:r>
            <w:r>
              <w:rPr>
                <w:sz w:val="24"/>
                <w:szCs w:val="24"/>
                <w:lang w:eastAsia="en-GB"/>
              </w:rPr>
              <w:t>, Mount Oriel Medical Practice, Knockbreda Centre, 110 Saintfield Road, Belfast BT8 6GR</w:t>
            </w:r>
            <w:r>
              <w:rPr>
                <w:sz w:val="24"/>
                <w:szCs w:val="24"/>
                <w:lang w:eastAsia="en-GB"/>
              </w:rPr>
              <w:t xml:space="preserve"> </w:t>
            </w:r>
            <w:r>
              <w:rPr>
                <w:sz w:val="24"/>
                <w:szCs w:val="24"/>
                <w:lang w:eastAsia="en-GB"/>
              </w:rPr>
              <w:t>Tel: 028 9070 1653</w:t>
            </w:r>
          </w:p>
          <w:p w:rsidR="00A351F0" w:rsidRPr="00A351F0" w:rsidRDefault="00A351F0" w:rsidP="00A86FF4">
            <w:pPr>
              <w:spacing w:after="0" w:line="240" w:lineRule="auto"/>
              <w:rPr>
                <w:color w:val="339966"/>
                <w:sz w:val="24"/>
                <w:szCs w:val="24"/>
                <w:lang w:eastAsia="en-GB"/>
              </w:rPr>
            </w:pPr>
          </w:p>
        </w:tc>
      </w:tr>
      <w:tr w:rsidR="00A351F0" w:rsidRPr="00A351F0" w:rsidTr="00A351F0">
        <w:trPr>
          <w:trHeight w:val="757"/>
        </w:trPr>
        <w:tc>
          <w:tcPr>
            <w:tcW w:w="3203" w:type="dxa"/>
            <w:noWrap/>
          </w:tcPr>
          <w:p w:rsidR="00A351F0" w:rsidRPr="00A351F0" w:rsidRDefault="00A351F0" w:rsidP="00A86FF4">
            <w:pPr>
              <w:spacing w:after="0" w:line="240" w:lineRule="auto"/>
              <w:rPr>
                <w:color w:val="000000"/>
                <w:sz w:val="24"/>
                <w:szCs w:val="24"/>
                <w:lang w:eastAsia="en-GB"/>
              </w:rPr>
            </w:pPr>
            <w:r w:rsidRPr="00A351F0">
              <w:rPr>
                <w:color w:val="000000"/>
                <w:sz w:val="24"/>
                <w:szCs w:val="24"/>
                <w:lang w:eastAsia="en-GB"/>
              </w:rPr>
              <w:t xml:space="preserve">3) </w:t>
            </w:r>
            <w:r w:rsidRPr="00A351F0">
              <w:rPr>
                <w:b/>
                <w:color w:val="000000"/>
                <w:sz w:val="24"/>
                <w:szCs w:val="24"/>
                <w:lang w:eastAsia="en-GB"/>
              </w:rPr>
              <w:t>Purpose</w:t>
            </w:r>
            <w:r w:rsidRPr="00A351F0">
              <w:rPr>
                <w:color w:val="000000"/>
                <w:sz w:val="24"/>
                <w:szCs w:val="24"/>
                <w:lang w:eastAsia="en-GB"/>
              </w:rPr>
              <w:t xml:space="preserve"> of the processing</w:t>
            </w:r>
          </w:p>
        </w:tc>
        <w:tc>
          <w:tcPr>
            <w:tcW w:w="7571" w:type="dxa"/>
            <w:noWrap/>
          </w:tcPr>
          <w:p w:rsidR="00A351F0" w:rsidRPr="00A351F0" w:rsidRDefault="00A351F0" w:rsidP="00A86FF4">
            <w:pPr>
              <w:rPr>
                <w:color w:val="000000"/>
                <w:sz w:val="24"/>
                <w:szCs w:val="24"/>
                <w:lang w:eastAsia="en-GB"/>
              </w:rPr>
            </w:pPr>
            <w:r w:rsidRPr="00A351F0">
              <w:rPr>
                <w:color w:val="000000"/>
                <w:sz w:val="24"/>
                <w:szCs w:val="24"/>
                <w:lang w:eastAsia="en-GB"/>
              </w:rPr>
              <w:t>The purpose of the processing is to protect the public.</w:t>
            </w:r>
          </w:p>
        </w:tc>
      </w:tr>
      <w:tr w:rsidR="00A351F0" w:rsidRPr="00A351F0" w:rsidTr="00A351F0">
        <w:trPr>
          <w:trHeight w:val="1833"/>
        </w:trPr>
        <w:tc>
          <w:tcPr>
            <w:tcW w:w="3203" w:type="dxa"/>
            <w:noWrap/>
          </w:tcPr>
          <w:p w:rsidR="00A351F0" w:rsidRPr="00A351F0" w:rsidRDefault="00A351F0" w:rsidP="00A86FF4">
            <w:pPr>
              <w:spacing w:after="0" w:line="240" w:lineRule="auto"/>
              <w:rPr>
                <w:color w:val="000000"/>
                <w:sz w:val="24"/>
                <w:szCs w:val="24"/>
                <w:lang w:eastAsia="en-GB"/>
              </w:rPr>
            </w:pPr>
            <w:r w:rsidRPr="00A351F0">
              <w:rPr>
                <w:color w:val="000000"/>
                <w:sz w:val="24"/>
                <w:szCs w:val="24"/>
                <w:lang w:eastAsia="en-GB"/>
              </w:rPr>
              <w:t xml:space="preserve">4) </w:t>
            </w:r>
            <w:r w:rsidRPr="00A351F0">
              <w:rPr>
                <w:b/>
                <w:color w:val="000000"/>
                <w:sz w:val="24"/>
                <w:szCs w:val="24"/>
                <w:lang w:eastAsia="en-GB"/>
              </w:rPr>
              <w:t>Lawful basis</w:t>
            </w:r>
            <w:r w:rsidRPr="00A351F0">
              <w:rPr>
                <w:color w:val="000000"/>
                <w:sz w:val="24"/>
                <w:szCs w:val="24"/>
                <w:lang w:eastAsia="en-GB"/>
              </w:rPr>
              <w:t xml:space="preserve"> for processing</w:t>
            </w:r>
          </w:p>
        </w:tc>
        <w:tc>
          <w:tcPr>
            <w:tcW w:w="7571" w:type="dxa"/>
            <w:noWrap/>
          </w:tcPr>
          <w:p w:rsidR="00A351F0" w:rsidRPr="00A351F0" w:rsidRDefault="00A351F0" w:rsidP="00A351F0">
            <w:pPr>
              <w:jc w:val="both"/>
              <w:rPr>
                <w:rFonts w:eastAsia="Calibri"/>
                <w:color w:val="000000"/>
                <w:sz w:val="24"/>
                <w:szCs w:val="24"/>
                <w:lang w:eastAsia="en-GB"/>
              </w:rPr>
            </w:pPr>
            <w:r w:rsidRPr="00A351F0">
              <w:rPr>
                <w:color w:val="000000"/>
                <w:sz w:val="24"/>
                <w:szCs w:val="24"/>
                <w:lang w:eastAsia="en-GB"/>
              </w:rPr>
              <w:t>The sharing is a legal requirement to provide certain statutory bodies with information when requested.</w:t>
            </w:r>
            <w:r w:rsidRPr="00A351F0">
              <w:rPr>
                <w:rFonts w:eastAsia="Calibri"/>
                <w:color w:val="000000"/>
                <w:sz w:val="24"/>
                <w:szCs w:val="24"/>
                <w:lang w:eastAsia="en-GB"/>
              </w:rPr>
              <w:t xml:space="preserve"> </w:t>
            </w:r>
          </w:p>
          <w:p w:rsidR="00A351F0" w:rsidRPr="00A351F0" w:rsidRDefault="00A351F0" w:rsidP="00A351F0">
            <w:pPr>
              <w:jc w:val="both"/>
              <w:rPr>
                <w:rFonts w:eastAsia="Calibri"/>
                <w:color w:val="000000"/>
                <w:sz w:val="24"/>
                <w:szCs w:val="24"/>
                <w:lang w:eastAsia="en-GB"/>
              </w:rPr>
            </w:pPr>
            <w:r w:rsidRPr="00A351F0">
              <w:rPr>
                <w:rFonts w:eastAsia="Calibri"/>
                <w:color w:val="000000"/>
                <w:sz w:val="24"/>
                <w:szCs w:val="24"/>
                <w:lang w:eastAsia="en-GB"/>
              </w:rPr>
              <w:t>For consented processing;</w:t>
            </w:r>
          </w:p>
          <w:p w:rsidR="00A351F0" w:rsidRPr="00A351F0" w:rsidRDefault="00A351F0" w:rsidP="00A351F0">
            <w:pPr>
              <w:jc w:val="both"/>
              <w:rPr>
                <w:rFonts w:eastAsia="Calibri"/>
                <w:color w:val="000000"/>
                <w:sz w:val="24"/>
                <w:szCs w:val="24"/>
                <w:lang w:eastAsia="en-GB"/>
              </w:rPr>
            </w:pPr>
            <w:r w:rsidRPr="00A351F0">
              <w:rPr>
                <w:color w:val="000000"/>
                <w:sz w:val="24"/>
                <w:szCs w:val="24"/>
                <w:lang w:eastAsia="en-GB"/>
              </w:rPr>
              <w:t>6(1)(a) the data subject has given consent to the processing of his or her personal data for one or more specific purposes</w:t>
            </w:r>
          </w:p>
          <w:p w:rsidR="00A351F0" w:rsidRPr="00A351F0" w:rsidRDefault="00A351F0" w:rsidP="00A351F0">
            <w:pPr>
              <w:jc w:val="both"/>
              <w:rPr>
                <w:rFonts w:eastAsia="Calibri"/>
                <w:color w:val="000000"/>
                <w:sz w:val="24"/>
                <w:szCs w:val="24"/>
                <w:lang w:eastAsia="en-GB"/>
              </w:rPr>
            </w:pPr>
            <w:r w:rsidRPr="00A351F0">
              <w:rPr>
                <w:rFonts w:eastAsia="Calibri"/>
                <w:color w:val="000000"/>
                <w:sz w:val="24"/>
                <w:szCs w:val="24"/>
                <w:lang w:eastAsia="en-GB"/>
              </w:rPr>
              <w:t>For unconsented processing;</w:t>
            </w:r>
          </w:p>
          <w:p w:rsidR="00A351F0" w:rsidRPr="00A351F0" w:rsidRDefault="00A351F0" w:rsidP="00A351F0">
            <w:pPr>
              <w:jc w:val="both"/>
              <w:rPr>
                <w:rFonts w:eastAsia="Calibri"/>
                <w:bCs/>
                <w:color w:val="000000"/>
                <w:sz w:val="24"/>
                <w:szCs w:val="24"/>
                <w:lang w:eastAsia="en-GB"/>
              </w:rPr>
            </w:pPr>
            <w:r w:rsidRPr="00A351F0">
              <w:rPr>
                <w:rFonts w:eastAsia="Calibri"/>
                <w:bCs/>
                <w:color w:val="000000"/>
                <w:sz w:val="24"/>
                <w:szCs w:val="24"/>
                <w:lang w:eastAsia="en-GB"/>
              </w:rPr>
              <w:t xml:space="preserve">6(1)(c) </w:t>
            </w:r>
            <w:r w:rsidRPr="00A351F0">
              <w:rPr>
                <w:color w:val="000000"/>
                <w:sz w:val="24"/>
                <w:szCs w:val="24"/>
                <w:lang w:eastAsia="en-GB"/>
              </w:rPr>
              <w:t>processing is necessary for compliance with a legal obligation to which the controller is subject</w:t>
            </w:r>
            <w:r w:rsidRPr="00A351F0">
              <w:rPr>
                <w:rFonts w:eastAsia="Calibri"/>
                <w:bCs/>
                <w:color w:val="000000"/>
                <w:sz w:val="24"/>
                <w:szCs w:val="24"/>
                <w:lang w:eastAsia="en-GB"/>
              </w:rPr>
              <w:t xml:space="preserve"> </w:t>
            </w:r>
          </w:p>
          <w:p w:rsidR="00A351F0" w:rsidRPr="00A351F0" w:rsidRDefault="00A351F0" w:rsidP="00A351F0">
            <w:pPr>
              <w:autoSpaceDE w:val="0"/>
              <w:autoSpaceDN w:val="0"/>
              <w:adjustRightInd w:val="0"/>
              <w:spacing w:after="240" w:line="360" w:lineRule="atLeast"/>
              <w:jc w:val="both"/>
              <w:rPr>
                <w:rFonts w:eastAsia="Calibri"/>
                <w:color w:val="000000"/>
                <w:sz w:val="24"/>
                <w:szCs w:val="24"/>
                <w:lang w:eastAsia="en-GB"/>
              </w:rPr>
            </w:pPr>
            <w:r w:rsidRPr="00A351F0">
              <w:rPr>
                <w:rFonts w:eastAsia="Calibri"/>
                <w:color w:val="000000"/>
                <w:sz w:val="24"/>
                <w:szCs w:val="24"/>
                <w:lang w:eastAsia="en-GB"/>
              </w:rPr>
              <w:t xml:space="preserve">and: </w:t>
            </w:r>
          </w:p>
          <w:p w:rsidR="00A351F0" w:rsidRPr="00A351F0" w:rsidRDefault="00A351F0" w:rsidP="00A351F0">
            <w:pPr>
              <w:jc w:val="both"/>
              <w:rPr>
                <w:rFonts w:eastAsia="Calibri"/>
                <w:bCs/>
                <w:color w:val="000000"/>
                <w:sz w:val="24"/>
                <w:szCs w:val="24"/>
                <w:lang w:eastAsia="en-GB"/>
              </w:rPr>
            </w:pPr>
            <w:r w:rsidRPr="00A351F0">
              <w:rPr>
                <w:rFonts w:eastAsia="Calibri"/>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rsidR="00A351F0" w:rsidRPr="00A351F0" w:rsidRDefault="00A351F0" w:rsidP="00A351F0">
            <w:pPr>
              <w:jc w:val="both"/>
              <w:rPr>
                <w:color w:val="000000"/>
                <w:sz w:val="24"/>
                <w:szCs w:val="24"/>
                <w:vertAlign w:val="superscript"/>
                <w:lang w:eastAsia="en-GB"/>
              </w:rPr>
            </w:pPr>
            <w:r w:rsidRPr="00A351F0">
              <w:rPr>
                <w:color w:val="000000"/>
                <w:sz w:val="24"/>
                <w:szCs w:val="24"/>
                <w:lang w:eastAsia="en-GB"/>
              </w:rPr>
              <w:t>We will consider your rights established under UK case law collectively known as the “Common Law Duty of Confidentiality”</w:t>
            </w:r>
            <w:r w:rsidRPr="00A351F0">
              <w:rPr>
                <w:color w:val="000000"/>
                <w:sz w:val="24"/>
                <w:szCs w:val="24"/>
                <w:vertAlign w:val="superscript"/>
                <w:lang w:eastAsia="en-GB"/>
              </w:rPr>
              <w:t>*</w:t>
            </w:r>
          </w:p>
          <w:p w:rsidR="00A351F0" w:rsidRPr="00A351F0" w:rsidRDefault="00A351F0" w:rsidP="00A351F0">
            <w:pPr>
              <w:spacing w:after="0" w:line="240" w:lineRule="auto"/>
              <w:jc w:val="both"/>
              <w:rPr>
                <w:b/>
                <w:color w:val="000000"/>
                <w:sz w:val="24"/>
                <w:szCs w:val="24"/>
                <w:lang w:eastAsia="en-GB"/>
              </w:rPr>
            </w:pPr>
            <w:r w:rsidRPr="00A351F0">
              <w:rPr>
                <w:b/>
                <w:color w:val="000000"/>
                <w:sz w:val="24"/>
                <w:szCs w:val="24"/>
                <w:lang w:eastAsia="en-GB"/>
              </w:rPr>
              <w:t>Prevention of Terrorism Act (1989) and Terrorism Act (2000)</w:t>
            </w:r>
          </w:p>
          <w:p w:rsidR="00A351F0" w:rsidRPr="00A351F0" w:rsidRDefault="00A351F0" w:rsidP="00A351F0">
            <w:pPr>
              <w:spacing w:after="0" w:line="240" w:lineRule="auto"/>
              <w:jc w:val="both"/>
              <w:rPr>
                <w:color w:val="000000"/>
                <w:sz w:val="24"/>
                <w:szCs w:val="24"/>
                <w:lang w:eastAsia="en-GB"/>
              </w:rPr>
            </w:pPr>
            <w:r w:rsidRPr="00A351F0">
              <w:rPr>
                <w:color w:val="000000"/>
                <w:sz w:val="24"/>
                <w:szCs w:val="24"/>
                <w:lang w:eastAsia="en-GB"/>
              </w:rPr>
              <w:t>An obligation to inform the Police if you have information (including personal information) that may assist them in preventing an act of terrorism, or help in apprehending or prosecuting a terrorist.</w:t>
            </w:r>
          </w:p>
          <w:p w:rsidR="00A351F0" w:rsidRPr="00A351F0" w:rsidRDefault="00A351F0" w:rsidP="00A351F0">
            <w:pPr>
              <w:spacing w:after="0" w:line="240" w:lineRule="auto"/>
              <w:jc w:val="both"/>
              <w:rPr>
                <w:color w:val="000000"/>
                <w:sz w:val="24"/>
                <w:szCs w:val="24"/>
                <w:lang w:eastAsia="en-GB"/>
              </w:rPr>
            </w:pPr>
          </w:p>
          <w:p w:rsidR="00A351F0" w:rsidRPr="00A351F0" w:rsidRDefault="00A351F0" w:rsidP="00A351F0">
            <w:pPr>
              <w:spacing w:after="0" w:line="240" w:lineRule="auto"/>
              <w:jc w:val="both"/>
              <w:rPr>
                <w:b/>
                <w:color w:val="000000"/>
                <w:sz w:val="24"/>
                <w:szCs w:val="24"/>
                <w:lang w:eastAsia="en-GB"/>
              </w:rPr>
            </w:pPr>
            <w:r w:rsidRPr="00A351F0">
              <w:rPr>
                <w:b/>
                <w:color w:val="000000"/>
                <w:sz w:val="24"/>
                <w:szCs w:val="24"/>
                <w:lang w:eastAsia="en-GB"/>
              </w:rPr>
              <w:t>The Road Traffic Act (1988)</w:t>
            </w:r>
          </w:p>
          <w:p w:rsidR="00A351F0" w:rsidRPr="00A351F0" w:rsidRDefault="00A351F0" w:rsidP="00A351F0">
            <w:pPr>
              <w:spacing w:after="0" w:line="240" w:lineRule="auto"/>
              <w:jc w:val="both"/>
              <w:rPr>
                <w:color w:val="000000"/>
                <w:sz w:val="24"/>
                <w:szCs w:val="24"/>
                <w:lang w:eastAsia="en-GB"/>
              </w:rPr>
            </w:pPr>
            <w:r w:rsidRPr="00A351F0">
              <w:rPr>
                <w:color w:val="000000"/>
                <w:sz w:val="24"/>
                <w:szCs w:val="24"/>
                <w:lang w:eastAsia="en-GB"/>
              </w:rPr>
              <w:t>A statutory duty to inform the Police, when asked, of any information that might identify any driver who is alleged to have committed an offence under the Act. We are not required to disclose clinical or other confidential information, only that information required to enable and identification of the driver.</w:t>
            </w:r>
          </w:p>
          <w:p w:rsidR="00A351F0" w:rsidRPr="00A351F0" w:rsidRDefault="00A351F0" w:rsidP="00A351F0">
            <w:pPr>
              <w:spacing w:after="0" w:line="240" w:lineRule="auto"/>
              <w:jc w:val="both"/>
              <w:rPr>
                <w:color w:val="000000"/>
                <w:sz w:val="24"/>
                <w:szCs w:val="24"/>
                <w:lang w:eastAsia="en-GB"/>
              </w:rPr>
            </w:pPr>
          </w:p>
          <w:p w:rsidR="00A351F0" w:rsidRPr="00A351F0" w:rsidRDefault="00A351F0" w:rsidP="00A351F0">
            <w:pPr>
              <w:spacing w:after="0" w:line="240" w:lineRule="auto"/>
              <w:jc w:val="both"/>
              <w:rPr>
                <w:color w:val="000000"/>
                <w:sz w:val="24"/>
                <w:szCs w:val="24"/>
                <w:lang w:eastAsia="en-GB"/>
              </w:rPr>
            </w:pPr>
            <w:r w:rsidRPr="00A351F0">
              <w:rPr>
                <w:b/>
                <w:color w:val="000000"/>
                <w:sz w:val="24"/>
                <w:szCs w:val="24"/>
                <w:lang w:eastAsia="en-GB"/>
              </w:rPr>
              <w:t>The Female Genital Mutilation Act (2003)</w:t>
            </w:r>
          </w:p>
          <w:p w:rsidR="00A351F0" w:rsidRPr="00A351F0" w:rsidRDefault="00A351F0" w:rsidP="00A351F0">
            <w:pPr>
              <w:spacing w:after="0" w:line="240" w:lineRule="auto"/>
              <w:jc w:val="both"/>
              <w:rPr>
                <w:rFonts w:eastAsia="Verdana" w:cs="Verdana"/>
                <w:sz w:val="24"/>
                <w:szCs w:val="24"/>
                <w:lang w:eastAsia="en-GB"/>
              </w:rPr>
            </w:pPr>
            <w:r w:rsidRPr="00A351F0">
              <w:rPr>
                <w:color w:val="000000"/>
                <w:sz w:val="24"/>
                <w:szCs w:val="24"/>
                <w:lang w:eastAsia="en-GB"/>
              </w:rPr>
              <w:t>A statutory duty to report to the police under Section 5B of this Act where it appears that a girl under the age of 18 has been subject to genital mutilation.</w:t>
            </w:r>
            <w:r w:rsidRPr="00A351F0">
              <w:rPr>
                <w:rFonts w:eastAsia="Verdana" w:cs="Verdana"/>
                <w:sz w:val="24"/>
                <w:szCs w:val="24"/>
                <w:lang w:eastAsia="en-GB"/>
              </w:rPr>
              <w:t xml:space="preserve"> </w:t>
            </w:r>
          </w:p>
          <w:p w:rsidR="00A351F0" w:rsidRPr="00A351F0" w:rsidRDefault="00A351F0" w:rsidP="00A351F0">
            <w:pPr>
              <w:spacing w:after="0" w:line="240" w:lineRule="auto"/>
              <w:jc w:val="both"/>
              <w:rPr>
                <w:color w:val="000000"/>
                <w:sz w:val="24"/>
                <w:szCs w:val="24"/>
                <w:lang w:eastAsia="en-GB"/>
              </w:rPr>
            </w:pPr>
          </w:p>
          <w:p w:rsidR="00A351F0" w:rsidRPr="00A351F0" w:rsidRDefault="00A351F0" w:rsidP="00A351F0">
            <w:pPr>
              <w:spacing w:after="0" w:line="240" w:lineRule="auto"/>
              <w:jc w:val="both"/>
              <w:rPr>
                <w:b/>
                <w:color w:val="000000"/>
                <w:sz w:val="24"/>
                <w:szCs w:val="24"/>
                <w:lang w:eastAsia="en-GB"/>
              </w:rPr>
            </w:pPr>
            <w:r w:rsidRPr="00A351F0">
              <w:rPr>
                <w:b/>
                <w:color w:val="000000"/>
                <w:sz w:val="24"/>
                <w:szCs w:val="24"/>
                <w:lang w:eastAsia="en-GB"/>
              </w:rPr>
              <w:t>The Medical Act (1983)</w:t>
            </w:r>
          </w:p>
          <w:p w:rsidR="00A351F0" w:rsidRPr="00A351F0" w:rsidRDefault="00A351F0" w:rsidP="00A351F0">
            <w:pPr>
              <w:spacing w:after="0" w:line="240" w:lineRule="auto"/>
              <w:jc w:val="both"/>
              <w:rPr>
                <w:rFonts w:eastAsia="Verdana" w:cs="Verdana"/>
                <w:sz w:val="24"/>
                <w:szCs w:val="24"/>
                <w:lang w:eastAsia="en-GB"/>
              </w:rPr>
            </w:pPr>
            <w:r w:rsidRPr="00A351F0">
              <w:rPr>
                <w:color w:val="000000"/>
                <w:sz w:val="24"/>
                <w:szCs w:val="24"/>
                <w:lang w:eastAsia="en-GB"/>
              </w:rPr>
              <w:t>The GMC has the power to request access to a patient’s medical records for the purposes of an investigation into a doctor’s fitness to practise.</w:t>
            </w:r>
            <w:r w:rsidRPr="00A351F0">
              <w:rPr>
                <w:rFonts w:eastAsia="Verdana" w:cs="Verdana"/>
                <w:sz w:val="24"/>
                <w:szCs w:val="24"/>
                <w:lang w:eastAsia="en-GB"/>
              </w:rPr>
              <w:t xml:space="preserve"> </w:t>
            </w:r>
          </w:p>
          <w:p w:rsidR="00A351F0" w:rsidRPr="00A351F0" w:rsidRDefault="00A351F0" w:rsidP="00A351F0">
            <w:pPr>
              <w:spacing w:after="0" w:line="240" w:lineRule="auto"/>
              <w:jc w:val="both"/>
              <w:rPr>
                <w:color w:val="000000"/>
                <w:sz w:val="24"/>
                <w:szCs w:val="24"/>
                <w:lang w:eastAsia="en-GB"/>
              </w:rPr>
            </w:pPr>
          </w:p>
          <w:p w:rsidR="00A351F0" w:rsidRPr="00A351F0" w:rsidRDefault="00A351F0" w:rsidP="00A351F0">
            <w:pPr>
              <w:spacing w:after="0" w:line="240" w:lineRule="auto"/>
              <w:jc w:val="both"/>
              <w:rPr>
                <w:b/>
                <w:color w:val="000000"/>
                <w:sz w:val="24"/>
                <w:szCs w:val="24"/>
                <w:lang w:eastAsia="en-GB"/>
              </w:rPr>
            </w:pPr>
            <w:r w:rsidRPr="00A351F0">
              <w:rPr>
                <w:b/>
                <w:color w:val="000000"/>
                <w:sz w:val="24"/>
                <w:szCs w:val="24"/>
                <w:lang w:eastAsia="en-GB"/>
              </w:rPr>
              <w:t>The Health Services Commissioners Act (1993)</w:t>
            </w:r>
          </w:p>
          <w:p w:rsidR="00A351F0" w:rsidRPr="00A351F0" w:rsidRDefault="00A351F0" w:rsidP="00A351F0">
            <w:pPr>
              <w:spacing w:after="0" w:line="240" w:lineRule="auto"/>
              <w:jc w:val="both"/>
              <w:rPr>
                <w:rFonts w:eastAsia="Verdana" w:cs="Verdana"/>
                <w:color w:val="0B0C0C"/>
                <w:sz w:val="24"/>
                <w:szCs w:val="24"/>
                <w:lang w:eastAsia="en-GB"/>
              </w:rPr>
            </w:pPr>
            <w:r w:rsidRPr="00A351F0">
              <w:rPr>
                <w:color w:val="000000"/>
                <w:sz w:val="24"/>
                <w:szCs w:val="24"/>
                <w:lang w:eastAsia="en-GB"/>
              </w:rPr>
              <w:t>The HSO has the power to request access to a patient’s medical records for the purposes of an investigation.</w:t>
            </w:r>
            <w:r w:rsidRPr="00A351F0">
              <w:rPr>
                <w:rFonts w:eastAsia="Verdana" w:cs="Verdana"/>
                <w:color w:val="0B0C0C"/>
                <w:sz w:val="24"/>
                <w:szCs w:val="24"/>
                <w:lang w:eastAsia="en-GB"/>
              </w:rPr>
              <w:t xml:space="preserve"> </w:t>
            </w:r>
          </w:p>
          <w:p w:rsidR="00A351F0" w:rsidRPr="00A351F0" w:rsidRDefault="00A351F0" w:rsidP="00A351F0">
            <w:pPr>
              <w:spacing w:after="0" w:line="240" w:lineRule="auto"/>
              <w:jc w:val="both"/>
              <w:rPr>
                <w:color w:val="000000"/>
                <w:sz w:val="24"/>
                <w:szCs w:val="24"/>
                <w:lang w:eastAsia="en-GB"/>
              </w:rPr>
            </w:pPr>
          </w:p>
          <w:p w:rsidR="00A351F0" w:rsidRPr="00A351F0" w:rsidRDefault="00A351F0" w:rsidP="00A351F0">
            <w:pPr>
              <w:spacing w:after="0" w:line="240" w:lineRule="auto"/>
              <w:jc w:val="both"/>
              <w:rPr>
                <w:b/>
                <w:color w:val="000000"/>
                <w:sz w:val="24"/>
                <w:szCs w:val="24"/>
                <w:lang w:eastAsia="en-GB"/>
              </w:rPr>
            </w:pPr>
            <w:r w:rsidRPr="00A351F0">
              <w:rPr>
                <w:b/>
                <w:color w:val="000000"/>
                <w:sz w:val="24"/>
                <w:szCs w:val="24"/>
                <w:lang w:eastAsia="en-GB"/>
              </w:rPr>
              <w:t>DVLNI</w:t>
            </w:r>
          </w:p>
          <w:p w:rsidR="00A351F0" w:rsidRPr="00A351F0" w:rsidRDefault="00A351F0" w:rsidP="00A351F0">
            <w:pPr>
              <w:spacing w:after="0" w:line="240" w:lineRule="auto"/>
              <w:jc w:val="both"/>
              <w:rPr>
                <w:color w:val="000000"/>
                <w:sz w:val="24"/>
                <w:szCs w:val="24"/>
                <w:lang w:eastAsia="en-GB"/>
              </w:rPr>
            </w:pPr>
            <w:r w:rsidRPr="00A351F0">
              <w:rPr>
                <w:color w:val="000000"/>
                <w:sz w:val="24"/>
                <w:szCs w:val="24"/>
                <w:lang w:eastAsia="en-GB"/>
              </w:rPr>
              <w:t>Applicants and licence holders have a legal duty to notify the DVLNI of any injury or illness that would have a likely impact on safe driving ability.</w:t>
            </w:r>
          </w:p>
          <w:p w:rsidR="00A351F0" w:rsidRPr="00A351F0" w:rsidRDefault="00A351F0" w:rsidP="00A351F0">
            <w:pPr>
              <w:spacing w:after="0" w:line="240" w:lineRule="auto"/>
              <w:jc w:val="both"/>
              <w:rPr>
                <w:color w:val="000000"/>
                <w:sz w:val="24"/>
                <w:szCs w:val="24"/>
                <w:lang w:eastAsia="en-GB"/>
              </w:rPr>
            </w:pPr>
          </w:p>
          <w:p w:rsidR="00A351F0" w:rsidRPr="00A351F0" w:rsidRDefault="00A351F0" w:rsidP="00A351F0">
            <w:pPr>
              <w:spacing w:after="0" w:line="240" w:lineRule="auto"/>
              <w:jc w:val="both"/>
              <w:rPr>
                <w:i/>
                <w:color w:val="000000"/>
                <w:sz w:val="24"/>
                <w:szCs w:val="24"/>
                <w:lang w:eastAsia="en-GB"/>
              </w:rPr>
            </w:pPr>
            <w:r w:rsidRPr="00A351F0">
              <w:rPr>
                <w:color w:val="000000"/>
                <w:sz w:val="24"/>
                <w:szCs w:val="24"/>
                <w:lang w:eastAsia="en-GB"/>
              </w:rPr>
              <w:t xml:space="preserve">GPs are obliged to notify the DVLNI when fitness to drive requires </w:t>
            </w:r>
            <w:r w:rsidRPr="00A351F0">
              <w:rPr>
                <w:i/>
                <w:color w:val="000000"/>
                <w:sz w:val="24"/>
                <w:szCs w:val="24"/>
                <w:lang w:eastAsia="en-GB"/>
              </w:rPr>
              <w:t xml:space="preserve">notification but an individual cannot or will not notify the DVLA themselves, and </w:t>
            </w:r>
            <w:r w:rsidRPr="00A351F0">
              <w:rPr>
                <w:color w:val="000000"/>
                <w:sz w:val="24"/>
                <w:szCs w:val="24"/>
                <w:lang w:eastAsia="en-GB"/>
              </w:rPr>
              <w:t>if there is concern for road safety, which would be for both the individual and the wider public.</w:t>
            </w:r>
          </w:p>
          <w:p w:rsidR="00A351F0" w:rsidRPr="00A351F0" w:rsidRDefault="00A351F0" w:rsidP="00A86FF4">
            <w:pPr>
              <w:rPr>
                <w:color w:val="000000"/>
                <w:sz w:val="24"/>
                <w:szCs w:val="24"/>
                <w:lang w:eastAsia="en-GB"/>
              </w:rPr>
            </w:pPr>
          </w:p>
        </w:tc>
      </w:tr>
      <w:tr w:rsidR="00A351F0" w:rsidRPr="00A351F0" w:rsidTr="00A351F0">
        <w:trPr>
          <w:trHeight w:val="300"/>
        </w:trPr>
        <w:tc>
          <w:tcPr>
            <w:tcW w:w="3203" w:type="dxa"/>
            <w:noWrap/>
          </w:tcPr>
          <w:p w:rsidR="00A351F0" w:rsidRPr="00A351F0" w:rsidRDefault="00A351F0" w:rsidP="00A86FF4">
            <w:pPr>
              <w:spacing w:after="0" w:line="240" w:lineRule="auto"/>
              <w:rPr>
                <w:color w:val="000000"/>
                <w:sz w:val="24"/>
                <w:szCs w:val="24"/>
                <w:lang w:eastAsia="en-GB"/>
              </w:rPr>
            </w:pPr>
            <w:r w:rsidRPr="00A351F0">
              <w:rPr>
                <w:color w:val="000000"/>
                <w:sz w:val="24"/>
                <w:szCs w:val="24"/>
                <w:lang w:eastAsia="en-GB"/>
              </w:rPr>
              <w:lastRenderedPageBreak/>
              <w:t xml:space="preserve">5) </w:t>
            </w:r>
            <w:r w:rsidRPr="00A351F0">
              <w:rPr>
                <w:b/>
                <w:color w:val="000000"/>
                <w:sz w:val="24"/>
                <w:szCs w:val="24"/>
                <w:lang w:eastAsia="en-GB"/>
              </w:rPr>
              <w:t xml:space="preserve">Recipient or categories of recipients </w:t>
            </w:r>
            <w:r w:rsidRPr="00A351F0">
              <w:rPr>
                <w:color w:val="000000"/>
                <w:sz w:val="24"/>
                <w:szCs w:val="24"/>
                <w:lang w:eastAsia="en-GB"/>
              </w:rPr>
              <w:t>of the shared data</w:t>
            </w:r>
          </w:p>
        </w:tc>
        <w:tc>
          <w:tcPr>
            <w:tcW w:w="7571" w:type="dxa"/>
            <w:noWrap/>
          </w:tcPr>
          <w:p w:rsidR="00A351F0" w:rsidRPr="00A351F0" w:rsidRDefault="00A351F0" w:rsidP="00A86FF4">
            <w:pPr>
              <w:spacing w:after="0" w:line="240" w:lineRule="auto"/>
              <w:rPr>
                <w:color w:val="000000"/>
                <w:sz w:val="24"/>
                <w:szCs w:val="24"/>
                <w:lang w:eastAsia="en-GB"/>
              </w:rPr>
            </w:pPr>
            <w:r w:rsidRPr="00A351F0">
              <w:rPr>
                <w:color w:val="000000"/>
                <w:sz w:val="24"/>
                <w:szCs w:val="24"/>
                <w:lang w:eastAsia="en-GB"/>
              </w:rPr>
              <w:t>The Police, DVLNI, the Courts, the GMC, the HSO</w:t>
            </w:r>
          </w:p>
          <w:p w:rsidR="00A351F0" w:rsidRPr="00A351F0" w:rsidRDefault="00A351F0" w:rsidP="00A86FF4">
            <w:pPr>
              <w:spacing w:after="0" w:line="240" w:lineRule="auto"/>
              <w:rPr>
                <w:color w:val="000000"/>
                <w:sz w:val="24"/>
                <w:szCs w:val="24"/>
                <w:lang w:eastAsia="en-GB"/>
              </w:rPr>
            </w:pPr>
          </w:p>
          <w:p w:rsidR="00A351F0" w:rsidRPr="00A351F0" w:rsidRDefault="00A351F0" w:rsidP="00A86FF4">
            <w:pPr>
              <w:spacing w:after="0" w:line="240" w:lineRule="auto"/>
              <w:rPr>
                <w:color w:val="000000"/>
                <w:sz w:val="24"/>
                <w:szCs w:val="24"/>
                <w:lang w:eastAsia="en-GB"/>
              </w:rPr>
            </w:pPr>
            <w:r w:rsidRPr="00A351F0">
              <w:rPr>
                <w:color w:val="000000"/>
                <w:sz w:val="24"/>
                <w:szCs w:val="24"/>
                <w:lang w:eastAsia="en-GB"/>
              </w:rPr>
              <w:t>With any disclosures there must be:</w:t>
            </w:r>
          </w:p>
          <w:p w:rsidR="00A351F0" w:rsidRPr="00A351F0" w:rsidRDefault="00A351F0" w:rsidP="00A86FF4">
            <w:pPr>
              <w:spacing w:after="0" w:line="240" w:lineRule="auto"/>
              <w:rPr>
                <w:color w:val="000000"/>
                <w:sz w:val="24"/>
                <w:szCs w:val="24"/>
                <w:lang w:eastAsia="en-GB"/>
              </w:rPr>
            </w:pPr>
          </w:p>
          <w:p w:rsidR="00A351F0" w:rsidRPr="00A351F0" w:rsidRDefault="00A351F0" w:rsidP="00A351F0">
            <w:pPr>
              <w:numPr>
                <w:ilvl w:val="0"/>
                <w:numId w:val="2"/>
              </w:numPr>
              <w:spacing w:after="0" w:line="240" w:lineRule="auto"/>
              <w:rPr>
                <w:color w:val="000000"/>
                <w:sz w:val="24"/>
                <w:szCs w:val="24"/>
                <w:lang w:eastAsia="en-GB"/>
              </w:rPr>
            </w:pPr>
            <w:r w:rsidRPr="00A351F0">
              <w:rPr>
                <w:color w:val="000000"/>
                <w:sz w:val="24"/>
                <w:szCs w:val="24"/>
                <w:lang w:eastAsia="en-GB"/>
              </w:rPr>
              <w:t>a legal duty to disclose, or</w:t>
            </w:r>
          </w:p>
          <w:p w:rsidR="00A351F0" w:rsidRPr="00A351F0" w:rsidRDefault="00A351F0" w:rsidP="00A351F0">
            <w:pPr>
              <w:numPr>
                <w:ilvl w:val="0"/>
                <w:numId w:val="2"/>
              </w:numPr>
              <w:spacing w:after="0" w:line="240" w:lineRule="auto"/>
              <w:rPr>
                <w:color w:val="000000"/>
                <w:sz w:val="24"/>
                <w:szCs w:val="24"/>
                <w:lang w:eastAsia="en-GB"/>
              </w:rPr>
            </w:pPr>
            <w:r w:rsidRPr="00A351F0">
              <w:rPr>
                <w:color w:val="000000"/>
                <w:sz w:val="24"/>
                <w:szCs w:val="24"/>
                <w:lang w:eastAsia="en-GB"/>
              </w:rPr>
              <w:t>a sufficiently important reason to disclose AND a legal basis for doing so</w:t>
            </w:r>
          </w:p>
          <w:p w:rsidR="00A351F0" w:rsidRPr="00A351F0" w:rsidRDefault="00A351F0" w:rsidP="00A86FF4">
            <w:pPr>
              <w:spacing w:after="0" w:line="240" w:lineRule="auto"/>
              <w:rPr>
                <w:color w:val="000000"/>
                <w:sz w:val="24"/>
                <w:szCs w:val="24"/>
                <w:lang w:eastAsia="en-GB"/>
              </w:rPr>
            </w:pPr>
          </w:p>
          <w:p w:rsidR="00A351F0" w:rsidRPr="00A351F0" w:rsidRDefault="00A351F0" w:rsidP="00A86FF4">
            <w:pPr>
              <w:spacing w:after="0" w:line="240" w:lineRule="auto"/>
              <w:rPr>
                <w:color w:val="000000"/>
                <w:sz w:val="24"/>
                <w:szCs w:val="24"/>
                <w:lang w:eastAsia="en-GB"/>
              </w:rPr>
            </w:pPr>
            <w:r w:rsidRPr="00A351F0">
              <w:rPr>
                <w:color w:val="000000"/>
                <w:sz w:val="24"/>
                <w:szCs w:val="24"/>
                <w:lang w:eastAsia="en-GB"/>
              </w:rPr>
              <w:t>Only the minimum, or relevant, information to satisfy the request will be provided.</w:t>
            </w:r>
          </w:p>
          <w:p w:rsidR="00A351F0" w:rsidRPr="00A351F0" w:rsidRDefault="00A351F0" w:rsidP="00A86FF4">
            <w:pPr>
              <w:spacing w:after="0" w:line="240" w:lineRule="auto"/>
              <w:rPr>
                <w:color w:val="000000"/>
                <w:sz w:val="24"/>
                <w:szCs w:val="24"/>
                <w:lang w:eastAsia="en-GB"/>
              </w:rPr>
            </w:pPr>
          </w:p>
          <w:p w:rsidR="00A351F0" w:rsidRPr="00A351F0" w:rsidRDefault="00A351F0" w:rsidP="00A86FF4">
            <w:pPr>
              <w:spacing w:after="0" w:line="240" w:lineRule="auto"/>
              <w:rPr>
                <w:color w:val="000000"/>
                <w:sz w:val="24"/>
                <w:szCs w:val="24"/>
                <w:lang w:eastAsia="en-GB"/>
              </w:rPr>
            </w:pPr>
            <w:r w:rsidRPr="00A351F0">
              <w:rPr>
                <w:color w:val="000000"/>
                <w:sz w:val="24"/>
                <w:szCs w:val="24"/>
                <w:lang w:eastAsia="en-GB"/>
              </w:rPr>
              <w:t>The list of statutory bodies is not exhaustive and there may be other circumstances where the sharing of your information may be legally obligated.</w:t>
            </w:r>
          </w:p>
          <w:p w:rsidR="00A351F0" w:rsidRPr="00A351F0" w:rsidRDefault="00A351F0" w:rsidP="00A86FF4">
            <w:pPr>
              <w:spacing w:after="0" w:line="240" w:lineRule="auto"/>
              <w:rPr>
                <w:color w:val="000000"/>
                <w:sz w:val="24"/>
                <w:szCs w:val="24"/>
                <w:lang w:eastAsia="en-GB"/>
              </w:rPr>
            </w:pPr>
          </w:p>
        </w:tc>
      </w:tr>
      <w:tr w:rsidR="00A351F0" w:rsidRPr="00A351F0" w:rsidTr="00A351F0">
        <w:trPr>
          <w:trHeight w:val="300"/>
        </w:trPr>
        <w:tc>
          <w:tcPr>
            <w:tcW w:w="3203" w:type="dxa"/>
            <w:noWrap/>
          </w:tcPr>
          <w:p w:rsidR="00A351F0" w:rsidRPr="00A351F0" w:rsidRDefault="00A351F0" w:rsidP="00A86FF4">
            <w:pPr>
              <w:spacing w:after="0" w:line="240" w:lineRule="auto"/>
              <w:rPr>
                <w:color w:val="000000"/>
                <w:sz w:val="24"/>
                <w:szCs w:val="24"/>
                <w:lang w:eastAsia="en-GB"/>
              </w:rPr>
            </w:pPr>
            <w:r w:rsidRPr="00A351F0">
              <w:rPr>
                <w:color w:val="000000"/>
                <w:sz w:val="24"/>
                <w:szCs w:val="24"/>
                <w:lang w:eastAsia="en-GB"/>
              </w:rPr>
              <w:t xml:space="preserve">6) </w:t>
            </w:r>
            <w:r w:rsidRPr="00A351F0">
              <w:rPr>
                <w:b/>
                <w:color w:val="000000"/>
                <w:sz w:val="24"/>
                <w:szCs w:val="24"/>
                <w:lang w:eastAsia="en-GB"/>
              </w:rPr>
              <w:t>Rights to object</w:t>
            </w:r>
            <w:r w:rsidRPr="00A351F0">
              <w:rPr>
                <w:color w:val="000000"/>
                <w:sz w:val="24"/>
                <w:szCs w:val="24"/>
                <w:lang w:eastAsia="en-GB"/>
              </w:rPr>
              <w:t xml:space="preserve"> </w:t>
            </w:r>
          </w:p>
        </w:tc>
        <w:tc>
          <w:tcPr>
            <w:tcW w:w="7571" w:type="dxa"/>
            <w:noWrap/>
          </w:tcPr>
          <w:p w:rsidR="00A351F0" w:rsidRPr="00A351F0" w:rsidRDefault="00A351F0" w:rsidP="00A86FF4">
            <w:pPr>
              <w:spacing w:after="0" w:line="240" w:lineRule="auto"/>
              <w:rPr>
                <w:color w:val="000000"/>
                <w:sz w:val="24"/>
                <w:szCs w:val="24"/>
                <w:lang w:eastAsia="en-GB"/>
              </w:rPr>
            </w:pPr>
            <w:r w:rsidRPr="00A351F0">
              <w:rPr>
                <w:color w:val="000000"/>
                <w:sz w:val="24"/>
                <w:szCs w:val="24"/>
                <w:lang w:eastAsia="en-GB"/>
              </w:rPr>
              <w:t xml:space="preserve">This sharing is a legal and professional requirement and therefore there is </w:t>
            </w:r>
            <w:r w:rsidRPr="00A351F0">
              <w:rPr>
                <w:color w:val="000000"/>
                <w:sz w:val="24"/>
                <w:szCs w:val="24"/>
                <w:lang w:eastAsia="en-GB"/>
              </w:rPr>
              <w:lastRenderedPageBreak/>
              <w:t xml:space="preserve">no right to object. </w:t>
            </w:r>
          </w:p>
          <w:p w:rsidR="00A351F0" w:rsidRPr="00A351F0" w:rsidRDefault="00A351F0" w:rsidP="00A86FF4">
            <w:pPr>
              <w:spacing w:after="0" w:line="240" w:lineRule="auto"/>
              <w:rPr>
                <w:color w:val="000000"/>
                <w:sz w:val="24"/>
                <w:szCs w:val="24"/>
                <w:lang w:eastAsia="en-GB"/>
              </w:rPr>
            </w:pPr>
          </w:p>
        </w:tc>
      </w:tr>
      <w:tr w:rsidR="00A351F0" w:rsidRPr="00A351F0" w:rsidTr="00A351F0">
        <w:trPr>
          <w:trHeight w:val="300"/>
        </w:trPr>
        <w:tc>
          <w:tcPr>
            <w:tcW w:w="3203" w:type="dxa"/>
            <w:noWrap/>
          </w:tcPr>
          <w:p w:rsidR="00A351F0" w:rsidRPr="00A351F0" w:rsidRDefault="00A351F0" w:rsidP="00A86FF4">
            <w:pPr>
              <w:spacing w:after="0" w:line="240" w:lineRule="auto"/>
              <w:rPr>
                <w:color w:val="000000"/>
                <w:sz w:val="24"/>
                <w:szCs w:val="24"/>
                <w:lang w:eastAsia="en-GB"/>
              </w:rPr>
            </w:pPr>
            <w:r w:rsidRPr="00A351F0">
              <w:rPr>
                <w:color w:val="000000"/>
                <w:sz w:val="24"/>
                <w:szCs w:val="24"/>
                <w:lang w:eastAsia="en-GB"/>
              </w:rPr>
              <w:lastRenderedPageBreak/>
              <w:t xml:space="preserve">7) </w:t>
            </w:r>
            <w:r w:rsidRPr="00A351F0">
              <w:rPr>
                <w:b/>
                <w:color w:val="000000"/>
                <w:sz w:val="24"/>
                <w:szCs w:val="24"/>
                <w:lang w:eastAsia="en-GB"/>
              </w:rPr>
              <w:t>Right to access and correct</w:t>
            </w:r>
          </w:p>
        </w:tc>
        <w:tc>
          <w:tcPr>
            <w:tcW w:w="7571" w:type="dxa"/>
            <w:noWrap/>
          </w:tcPr>
          <w:p w:rsidR="00A351F0" w:rsidRDefault="00A351F0" w:rsidP="00A86FF4">
            <w:pPr>
              <w:spacing w:after="0" w:line="240" w:lineRule="auto"/>
              <w:rPr>
                <w:color w:val="000000"/>
                <w:sz w:val="24"/>
                <w:szCs w:val="24"/>
                <w:lang w:eastAsia="en-GB"/>
              </w:rPr>
            </w:pPr>
            <w:r w:rsidRPr="00A351F0">
              <w:rPr>
                <w:sz w:val="24"/>
                <w:szCs w:val="24"/>
                <w:lang w:eastAsia="en-GB"/>
              </w:rPr>
              <w:t>The data subject or legal representatives have the right to access the data that is being shared and have any inaccuracies corrected</w:t>
            </w:r>
            <w:r w:rsidRPr="00A351F0">
              <w:rPr>
                <w:color w:val="000000"/>
                <w:sz w:val="24"/>
                <w:szCs w:val="24"/>
                <w:lang w:eastAsia="en-GB"/>
              </w:rPr>
              <w:t>. There is no right to have accurate medical records deleted except when ordered by a court of Law.</w:t>
            </w:r>
          </w:p>
          <w:p w:rsidR="00A351F0" w:rsidRPr="00A351F0" w:rsidRDefault="00A351F0" w:rsidP="00A86FF4">
            <w:pPr>
              <w:spacing w:after="0" w:line="240" w:lineRule="auto"/>
              <w:rPr>
                <w:color w:val="000000"/>
                <w:sz w:val="24"/>
                <w:szCs w:val="24"/>
                <w:lang w:eastAsia="en-GB"/>
              </w:rPr>
            </w:pPr>
          </w:p>
        </w:tc>
      </w:tr>
      <w:tr w:rsidR="00A351F0" w:rsidRPr="00A351F0" w:rsidTr="00A351F0">
        <w:trPr>
          <w:trHeight w:val="300"/>
        </w:trPr>
        <w:tc>
          <w:tcPr>
            <w:tcW w:w="3203" w:type="dxa"/>
            <w:noWrap/>
          </w:tcPr>
          <w:p w:rsidR="00A351F0" w:rsidRPr="00A351F0" w:rsidRDefault="00A351F0" w:rsidP="00A86FF4">
            <w:pPr>
              <w:spacing w:after="0" w:line="240" w:lineRule="auto"/>
              <w:rPr>
                <w:color w:val="000000"/>
                <w:sz w:val="24"/>
                <w:szCs w:val="24"/>
                <w:lang w:eastAsia="en-GB"/>
              </w:rPr>
            </w:pPr>
            <w:r w:rsidRPr="00A351F0">
              <w:rPr>
                <w:color w:val="000000"/>
                <w:sz w:val="24"/>
                <w:szCs w:val="24"/>
                <w:lang w:eastAsia="en-GB"/>
              </w:rPr>
              <w:t>8</w:t>
            </w:r>
            <w:r w:rsidRPr="00A351F0">
              <w:rPr>
                <w:b/>
                <w:color w:val="000000"/>
                <w:sz w:val="24"/>
                <w:szCs w:val="24"/>
                <w:lang w:eastAsia="en-GB"/>
              </w:rPr>
              <w:t>) Retention period</w:t>
            </w:r>
            <w:r w:rsidRPr="00A351F0">
              <w:rPr>
                <w:color w:val="000000"/>
                <w:sz w:val="24"/>
                <w:szCs w:val="24"/>
                <w:lang w:eastAsia="en-GB"/>
              </w:rPr>
              <w:t xml:space="preserve"> </w:t>
            </w:r>
          </w:p>
        </w:tc>
        <w:tc>
          <w:tcPr>
            <w:tcW w:w="7571" w:type="dxa"/>
            <w:noWrap/>
          </w:tcPr>
          <w:p w:rsidR="00A351F0" w:rsidRPr="00A351F0" w:rsidRDefault="00A351F0" w:rsidP="00A86FF4">
            <w:pPr>
              <w:spacing w:after="0" w:line="240" w:lineRule="auto"/>
              <w:rPr>
                <w:sz w:val="24"/>
                <w:szCs w:val="24"/>
              </w:rPr>
            </w:pPr>
            <w:r w:rsidRPr="00A351F0">
              <w:rPr>
                <w:color w:val="000000"/>
                <w:sz w:val="24"/>
                <w:szCs w:val="24"/>
                <w:lang w:eastAsia="en-GB"/>
              </w:rPr>
              <w:t>Police policy can be found at</w:t>
            </w:r>
            <w:r w:rsidRPr="00A351F0">
              <w:rPr>
                <w:sz w:val="24"/>
                <w:szCs w:val="24"/>
              </w:rPr>
              <w:t xml:space="preserve"> </w:t>
            </w:r>
          </w:p>
          <w:p w:rsidR="00A351F0" w:rsidRPr="00A351F0" w:rsidRDefault="00A351F0" w:rsidP="00A86FF4">
            <w:pPr>
              <w:spacing w:after="0" w:line="240" w:lineRule="auto"/>
              <w:rPr>
                <w:color w:val="000000"/>
                <w:sz w:val="24"/>
                <w:szCs w:val="24"/>
                <w:lang w:eastAsia="en-GB"/>
              </w:rPr>
            </w:pPr>
            <w:r w:rsidRPr="00A351F0">
              <w:rPr>
                <w:color w:val="000000"/>
                <w:sz w:val="24"/>
                <w:szCs w:val="24"/>
                <w:u w:val="single"/>
                <w:lang w:eastAsia="en-GB"/>
              </w:rPr>
              <w:t>https://www.psni.police.uk/advice_information/information-about-yourself/</w:t>
            </w:r>
          </w:p>
          <w:p w:rsidR="00A351F0" w:rsidRPr="00A351F0" w:rsidRDefault="00A351F0" w:rsidP="00A86FF4">
            <w:pPr>
              <w:spacing w:after="0" w:line="240" w:lineRule="auto"/>
              <w:rPr>
                <w:rFonts w:eastAsia="Times New Roman" w:cs="Times New Roman"/>
                <w:color w:val="000000"/>
                <w:sz w:val="24"/>
                <w:szCs w:val="24"/>
                <w:lang w:eastAsia="en-GB"/>
              </w:rPr>
            </w:pPr>
          </w:p>
          <w:p w:rsidR="00A351F0" w:rsidRPr="00A351F0" w:rsidRDefault="00A351F0" w:rsidP="00A86FF4">
            <w:pPr>
              <w:spacing w:after="0" w:line="240" w:lineRule="auto"/>
              <w:rPr>
                <w:color w:val="000000"/>
                <w:sz w:val="24"/>
                <w:szCs w:val="24"/>
                <w:lang w:eastAsia="en-GB"/>
              </w:rPr>
            </w:pPr>
          </w:p>
          <w:p w:rsidR="00A351F0" w:rsidRPr="00A351F0" w:rsidRDefault="00A351F0" w:rsidP="00A86FF4">
            <w:pPr>
              <w:spacing w:after="0" w:line="240" w:lineRule="auto"/>
              <w:rPr>
                <w:color w:val="000000"/>
                <w:sz w:val="24"/>
                <w:szCs w:val="24"/>
                <w:lang w:eastAsia="en-GB"/>
              </w:rPr>
            </w:pPr>
            <w:r w:rsidRPr="00A351F0">
              <w:rPr>
                <w:color w:val="000000"/>
                <w:sz w:val="24"/>
                <w:szCs w:val="24"/>
                <w:lang w:eastAsia="en-GB"/>
              </w:rPr>
              <w:t>Data retained in line with DVLA policies on storing identifiable data</w:t>
            </w:r>
            <w:r w:rsidRPr="00A351F0">
              <w:rPr>
                <w:color w:val="000000"/>
                <w:sz w:val="24"/>
                <w:szCs w:val="24"/>
                <w:lang w:eastAsia="en-GB"/>
              </w:rPr>
              <w:br/>
            </w:r>
            <w:hyperlink r:id="rId6" w:history="1">
              <w:r w:rsidRPr="00A351F0">
                <w:rPr>
                  <w:rStyle w:val="Hyperlink"/>
                  <w:rFonts w:asciiTheme="minorHAnsi" w:hAnsiTheme="minorHAnsi"/>
                  <w:sz w:val="24"/>
                  <w:szCs w:val="24"/>
                  <w:lang w:eastAsia="en-GB"/>
                </w:rPr>
                <w:t>https://www.gov.uk/government/organisations/driver-and-vehicle-licensing-agency/about/personal-information-charter</w:t>
              </w:r>
            </w:hyperlink>
            <w:r w:rsidRPr="00A351F0">
              <w:rPr>
                <w:color w:val="000000"/>
                <w:sz w:val="24"/>
                <w:szCs w:val="24"/>
                <w:lang w:eastAsia="en-GB"/>
              </w:rPr>
              <w:t xml:space="preserve"> </w:t>
            </w:r>
          </w:p>
          <w:p w:rsidR="00A351F0" w:rsidRPr="00A351F0" w:rsidRDefault="00A351F0" w:rsidP="00A86FF4">
            <w:pPr>
              <w:spacing w:after="0" w:line="240" w:lineRule="auto"/>
              <w:rPr>
                <w:color w:val="000000"/>
                <w:sz w:val="24"/>
                <w:szCs w:val="24"/>
                <w:lang w:eastAsia="en-GB"/>
              </w:rPr>
            </w:pPr>
            <w:bookmarkStart w:id="0" w:name="_GoBack"/>
            <w:bookmarkEnd w:id="0"/>
          </w:p>
        </w:tc>
      </w:tr>
      <w:tr w:rsidR="00A351F0" w:rsidRPr="00A351F0" w:rsidTr="00A351F0">
        <w:trPr>
          <w:trHeight w:val="300"/>
        </w:trPr>
        <w:tc>
          <w:tcPr>
            <w:tcW w:w="3203" w:type="dxa"/>
            <w:noWrap/>
          </w:tcPr>
          <w:p w:rsidR="00A351F0" w:rsidRPr="00A351F0" w:rsidRDefault="00A351F0" w:rsidP="00A86FF4">
            <w:pPr>
              <w:spacing w:after="0" w:line="240" w:lineRule="auto"/>
              <w:rPr>
                <w:color w:val="000000"/>
                <w:sz w:val="24"/>
                <w:szCs w:val="24"/>
                <w:lang w:eastAsia="en-GB"/>
              </w:rPr>
            </w:pPr>
            <w:r w:rsidRPr="00A351F0">
              <w:rPr>
                <w:color w:val="000000"/>
                <w:sz w:val="24"/>
                <w:szCs w:val="24"/>
                <w:lang w:eastAsia="en-GB"/>
              </w:rPr>
              <w:t xml:space="preserve">9)  </w:t>
            </w:r>
            <w:r w:rsidRPr="00A351F0">
              <w:rPr>
                <w:b/>
                <w:color w:val="000000"/>
                <w:sz w:val="24"/>
                <w:szCs w:val="24"/>
                <w:lang w:eastAsia="en-GB"/>
              </w:rPr>
              <w:t>Right to Complain</w:t>
            </w:r>
            <w:r w:rsidRPr="00A351F0">
              <w:rPr>
                <w:color w:val="000000"/>
                <w:sz w:val="24"/>
                <w:szCs w:val="24"/>
                <w:lang w:eastAsia="en-GB"/>
              </w:rPr>
              <w:t xml:space="preserve">. </w:t>
            </w:r>
          </w:p>
        </w:tc>
        <w:tc>
          <w:tcPr>
            <w:tcW w:w="7571" w:type="dxa"/>
            <w:noWrap/>
          </w:tcPr>
          <w:p w:rsidR="00A351F0" w:rsidRPr="00A351F0" w:rsidRDefault="00A351F0" w:rsidP="00A86FF4">
            <w:pPr>
              <w:spacing w:after="0" w:line="240" w:lineRule="auto"/>
              <w:rPr>
                <w:color w:val="000000"/>
                <w:sz w:val="24"/>
                <w:szCs w:val="24"/>
                <w:lang w:eastAsia="en-GB"/>
              </w:rPr>
            </w:pPr>
            <w:r w:rsidRPr="00A351F0">
              <w:rPr>
                <w:color w:val="000000"/>
                <w:sz w:val="24"/>
                <w:szCs w:val="24"/>
                <w:lang w:eastAsia="en-GB"/>
              </w:rPr>
              <w:t>You have the right to complain to the Information Commissioner’s Office, you can use this link</w:t>
            </w:r>
            <w:r w:rsidRPr="00A351F0">
              <w:rPr>
                <w:sz w:val="24"/>
                <w:szCs w:val="24"/>
              </w:rPr>
              <w:t xml:space="preserve"> </w:t>
            </w:r>
            <w:hyperlink r:id="rId7" w:history="1">
              <w:r w:rsidRPr="00A351F0">
                <w:rPr>
                  <w:rStyle w:val="Hyperlink"/>
                  <w:rFonts w:asciiTheme="minorHAnsi" w:hAnsiTheme="minorHAnsi"/>
                  <w:sz w:val="24"/>
                  <w:szCs w:val="24"/>
                  <w:lang w:eastAsia="en-GB"/>
                </w:rPr>
                <w:t>https://ico.org.uk/global/contact-us/</w:t>
              </w:r>
            </w:hyperlink>
            <w:r w:rsidRPr="00A351F0">
              <w:rPr>
                <w:color w:val="000000"/>
                <w:sz w:val="24"/>
                <w:szCs w:val="24"/>
                <w:lang w:eastAsia="en-GB"/>
              </w:rPr>
              <w:t xml:space="preserve">  </w:t>
            </w:r>
          </w:p>
          <w:p w:rsidR="00A351F0" w:rsidRPr="00A351F0" w:rsidRDefault="00A351F0" w:rsidP="00A86FF4">
            <w:pPr>
              <w:spacing w:after="0" w:line="240" w:lineRule="auto"/>
              <w:rPr>
                <w:color w:val="000000"/>
                <w:sz w:val="24"/>
                <w:szCs w:val="24"/>
                <w:lang w:eastAsia="en-GB"/>
              </w:rPr>
            </w:pPr>
          </w:p>
          <w:p w:rsidR="00A351F0" w:rsidRPr="00A351F0" w:rsidRDefault="00A351F0" w:rsidP="00A86FF4">
            <w:pPr>
              <w:shd w:val="clear" w:color="auto" w:fill="FFFFFF"/>
              <w:spacing w:after="240" w:line="240" w:lineRule="auto"/>
              <w:rPr>
                <w:color w:val="000000"/>
                <w:sz w:val="24"/>
                <w:szCs w:val="24"/>
                <w:lang w:eastAsia="en-GB"/>
              </w:rPr>
            </w:pPr>
            <w:r w:rsidRPr="00A351F0">
              <w:rPr>
                <w:color w:val="000000"/>
                <w:sz w:val="24"/>
                <w:szCs w:val="24"/>
                <w:lang w:eastAsia="en-GB"/>
              </w:rPr>
              <w:t xml:space="preserve">or calling their helpline Tel: 0303 123 1113 (local rate) or 01625 545 745 (national rate) </w:t>
            </w:r>
          </w:p>
          <w:p w:rsidR="00A351F0" w:rsidRPr="00A351F0" w:rsidRDefault="00A351F0" w:rsidP="00A86FF4">
            <w:pPr>
              <w:spacing w:after="0" w:line="240" w:lineRule="auto"/>
              <w:rPr>
                <w:color w:val="000000"/>
                <w:sz w:val="24"/>
                <w:szCs w:val="24"/>
                <w:lang w:eastAsia="en-GB"/>
              </w:rPr>
            </w:pPr>
            <w:r w:rsidRPr="00A351F0">
              <w:rPr>
                <w:color w:val="000000"/>
                <w:sz w:val="24"/>
                <w:szCs w:val="24"/>
                <w:shd w:val="clear" w:color="auto" w:fill="FFFFFF"/>
              </w:rPr>
              <w:t>The Information Commissioner’s Office – Northern Ireland</w:t>
            </w:r>
            <w:r w:rsidRPr="00A351F0">
              <w:rPr>
                <w:color w:val="000000"/>
                <w:sz w:val="24"/>
                <w:szCs w:val="24"/>
              </w:rPr>
              <w:br/>
            </w:r>
            <w:r w:rsidRPr="00A351F0">
              <w:rPr>
                <w:color w:val="000000"/>
                <w:sz w:val="24"/>
                <w:szCs w:val="24"/>
                <w:shd w:val="clear" w:color="auto" w:fill="FFFFFF"/>
              </w:rPr>
              <w:t>3rd Floor</w:t>
            </w:r>
            <w:r w:rsidRPr="00A351F0">
              <w:rPr>
                <w:color w:val="000000"/>
                <w:sz w:val="24"/>
                <w:szCs w:val="24"/>
              </w:rPr>
              <w:br/>
            </w:r>
            <w:r w:rsidRPr="00A351F0">
              <w:rPr>
                <w:color w:val="000000"/>
                <w:sz w:val="24"/>
                <w:szCs w:val="24"/>
                <w:shd w:val="clear" w:color="auto" w:fill="FFFFFF"/>
              </w:rPr>
              <w:t xml:space="preserve">14 </w:t>
            </w:r>
            <w:proofErr w:type="spellStart"/>
            <w:r w:rsidRPr="00A351F0">
              <w:rPr>
                <w:color w:val="000000"/>
                <w:sz w:val="24"/>
                <w:szCs w:val="24"/>
                <w:shd w:val="clear" w:color="auto" w:fill="FFFFFF"/>
              </w:rPr>
              <w:t>Cromac</w:t>
            </w:r>
            <w:proofErr w:type="spellEnd"/>
            <w:r w:rsidRPr="00A351F0">
              <w:rPr>
                <w:color w:val="000000"/>
                <w:sz w:val="24"/>
                <w:szCs w:val="24"/>
                <w:shd w:val="clear" w:color="auto" w:fill="FFFFFF"/>
              </w:rPr>
              <w:t xml:space="preserve"> Place, </w:t>
            </w:r>
            <w:r w:rsidRPr="00A351F0">
              <w:rPr>
                <w:color w:val="000000"/>
                <w:sz w:val="24"/>
                <w:szCs w:val="24"/>
              </w:rPr>
              <w:br/>
            </w:r>
            <w:r w:rsidRPr="00A351F0">
              <w:rPr>
                <w:color w:val="000000"/>
                <w:sz w:val="24"/>
                <w:szCs w:val="24"/>
                <w:shd w:val="clear" w:color="auto" w:fill="FFFFFF"/>
              </w:rPr>
              <w:t>Belfast</w:t>
            </w:r>
            <w:r w:rsidRPr="00A351F0">
              <w:rPr>
                <w:color w:val="000000"/>
                <w:sz w:val="24"/>
                <w:szCs w:val="24"/>
              </w:rPr>
              <w:br/>
            </w:r>
            <w:r w:rsidRPr="00A351F0">
              <w:rPr>
                <w:color w:val="000000"/>
                <w:sz w:val="24"/>
                <w:szCs w:val="24"/>
                <w:shd w:val="clear" w:color="auto" w:fill="FFFFFF"/>
              </w:rPr>
              <w:t>BT7 2JB</w:t>
            </w:r>
            <w:r w:rsidRPr="00A351F0">
              <w:rPr>
                <w:color w:val="000000"/>
                <w:sz w:val="24"/>
                <w:szCs w:val="24"/>
              </w:rPr>
              <w:br/>
            </w:r>
            <w:r w:rsidRPr="00A351F0">
              <w:rPr>
                <w:color w:val="000000"/>
                <w:sz w:val="24"/>
                <w:szCs w:val="24"/>
              </w:rPr>
              <w:br/>
            </w:r>
            <w:r w:rsidRPr="00A351F0">
              <w:rPr>
                <w:color w:val="000000"/>
                <w:sz w:val="24"/>
                <w:szCs w:val="24"/>
                <w:shd w:val="clear" w:color="auto" w:fill="FFFFFF"/>
              </w:rPr>
              <w:t>Telephone: 028 9027 8757 / 0303 123 1114</w:t>
            </w:r>
            <w:r w:rsidRPr="00A351F0">
              <w:rPr>
                <w:color w:val="000000"/>
                <w:sz w:val="24"/>
                <w:szCs w:val="24"/>
              </w:rPr>
              <w:br/>
            </w:r>
            <w:r w:rsidRPr="00A351F0">
              <w:rPr>
                <w:color w:val="000000"/>
                <w:sz w:val="24"/>
                <w:szCs w:val="24"/>
                <w:shd w:val="clear" w:color="auto" w:fill="FFFFFF"/>
              </w:rPr>
              <w:t>Email: </w:t>
            </w:r>
            <w:hyperlink r:id="rId8" w:history="1">
              <w:r w:rsidRPr="00A351F0">
                <w:rPr>
                  <w:rStyle w:val="Hyperlink"/>
                  <w:rFonts w:asciiTheme="minorHAnsi" w:hAnsiTheme="minorHAnsi"/>
                  <w:color w:val="0059A9"/>
                  <w:sz w:val="24"/>
                  <w:szCs w:val="24"/>
                  <w:shd w:val="clear" w:color="auto" w:fill="FFFFFF"/>
                </w:rPr>
                <w:t>ni@ico.org.uk</w:t>
              </w:r>
            </w:hyperlink>
          </w:p>
        </w:tc>
      </w:tr>
    </w:tbl>
    <w:p w:rsidR="00A351F0" w:rsidRPr="00A351F0" w:rsidRDefault="00A351F0" w:rsidP="00A351F0">
      <w:pPr>
        <w:rPr>
          <w:sz w:val="24"/>
          <w:szCs w:val="24"/>
        </w:rPr>
      </w:pPr>
    </w:p>
    <w:p w:rsidR="00A351F0" w:rsidRPr="00A351F0" w:rsidRDefault="00A351F0" w:rsidP="00A351F0">
      <w:pPr>
        <w:rPr>
          <w:sz w:val="24"/>
          <w:szCs w:val="24"/>
        </w:rPr>
      </w:pPr>
      <w:r w:rsidRPr="00A351F0">
        <w:rPr>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A351F0" w:rsidRPr="00A351F0" w:rsidRDefault="00A351F0" w:rsidP="00A351F0">
      <w:pPr>
        <w:rPr>
          <w:sz w:val="24"/>
          <w:szCs w:val="24"/>
        </w:rPr>
      </w:pPr>
      <w:r w:rsidRPr="00A351F0">
        <w:rPr>
          <w:sz w:val="24"/>
          <w:szCs w:val="24"/>
        </w:rPr>
        <w:t>The general position is that if information is given in circumstances where it is expected that a duty of confidence applies, that information cannot normally be disclosed without the information provider's consent.</w:t>
      </w:r>
    </w:p>
    <w:p w:rsidR="00A351F0" w:rsidRPr="00A351F0" w:rsidRDefault="00A351F0" w:rsidP="00A351F0">
      <w:pPr>
        <w:rPr>
          <w:sz w:val="24"/>
          <w:szCs w:val="24"/>
        </w:rPr>
      </w:pPr>
      <w:r w:rsidRPr="00A351F0">
        <w:rPr>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A351F0" w:rsidRPr="00A351F0" w:rsidRDefault="00A351F0" w:rsidP="00A351F0">
      <w:pPr>
        <w:rPr>
          <w:sz w:val="24"/>
          <w:szCs w:val="24"/>
        </w:rPr>
      </w:pPr>
      <w:r w:rsidRPr="00A351F0">
        <w:rPr>
          <w:sz w:val="24"/>
          <w:szCs w:val="24"/>
        </w:rPr>
        <w:t>Three circumstances making disclosure of confidential information lawful are:</w:t>
      </w:r>
    </w:p>
    <w:p w:rsidR="00A351F0" w:rsidRPr="00A351F0" w:rsidRDefault="00A351F0" w:rsidP="00A351F0">
      <w:pPr>
        <w:numPr>
          <w:ilvl w:val="0"/>
          <w:numId w:val="1"/>
        </w:numPr>
        <w:spacing w:after="200" w:line="276" w:lineRule="auto"/>
        <w:rPr>
          <w:sz w:val="24"/>
          <w:szCs w:val="24"/>
        </w:rPr>
      </w:pPr>
      <w:r w:rsidRPr="00A351F0">
        <w:rPr>
          <w:sz w:val="24"/>
          <w:szCs w:val="24"/>
        </w:rPr>
        <w:lastRenderedPageBreak/>
        <w:t>where the individual to whom the information relates has consented;</w:t>
      </w:r>
    </w:p>
    <w:p w:rsidR="00A351F0" w:rsidRPr="00A351F0" w:rsidRDefault="00A351F0" w:rsidP="00A351F0">
      <w:pPr>
        <w:numPr>
          <w:ilvl w:val="0"/>
          <w:numId w:val="1"/>
        </w:numPr>
        <w:spacing w:after="200" w:line="276" w:lineRule="auto"/>
        <w:rPr>
          <w:sz w:val="24"/>
          <w:szCs w:val="24"/>
        </w:rPr>
      </w:pPr>
      <w:r w:rsidRPr="00A351F0">
        <w:rPr>
          <w:sz w:val="24"/>
          <w:szCs w:val="24"/>
        </w:rPr>
        <w:t>where disclosure is in the public interest; and</w:t>
      </w:r>
    </w:p>
    <w:p w:rsidR="00A351F0" w:rsidRPr="00A351F0" w:rsidRDefault="00A351F0" w:rsidP="00A351F0">
      <w:pPr>
        <w:numPr>
          <w:ilvl w:val="0"/>
          <w:numId w:val="1"/>
        </w:numPr>
        <w:spacing w:after="200" w:line="276" w:lineRule="auto"/>
        <w:rPr>
          <w:sz w:val="24"/>
          <w:szCs w:val="24"/>
        </w:rPr>
      </w:pPr>
      <w:proofErr w:type="gramStart"/>
      <w:r w:rsidRPr="00A351F0">
        <w:rPr>
          <w:sz w:val="24"/>
          <w:szCs w:val="24"/>
        </w:rPr>
        <w:t>where</w:t>
      </w:r>
      <w:proofErr w:type="gramEnd"/>
      <w:r w:rsidRPr="00A351F0">
        <w:rPr>
          <w:sz w:val="24"/>
          <w:szCs w:val="24"/>
        </w:rPr>
        <w:t xml:space="preserve"> there is a legal duty to do so, for example a court order.</w:t>
      </w:r>
    </w:p>
    <w:p w:rsidR="0009727F" w:rsidRDefault="0009727F"/>
    <w:sectPr w:rsidR="0009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014"/>
    <w:multiLevelType w:val="hybridMultilevel"/>
    <w:tmpl w:val="E444B41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F0"/>
    <w:rsid w:val="0009727F"/>
    <w:rsid w:val="00A3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F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51F0"/>
    <w:rPr>
      <w:rFonts w:ascii="Times New Roman" w:hAnsi="Times New Roman" w:cs="Times New Roman" w:hint="default"/>
      <w:color w:val="0000FF"/>
      <w:u w:val="single"/>
    </w:rPr>
  </w:style>
  <w:style w:type="paragraph" w:styleId="NormalWeb">
    <w:name w:val="Normal (Web)"/>
    <w:basedOn w:val="Normal"/>
    <w:uiPriority w:val="99"/>
    <w:unhideWhenUsed/>
    <w:rsid w:val="00A351F0"/>
    <w:pPr>
      <w:spacing w:before="100" w:beforeAutospacing="1" w:after="100" w:afterAutospacing="1" w:line="240" w:lineRule="auto"/>
    </w:pPr>
    <w:rPr>
      <w:rFonts w:ascii="Times New Roman" w:eastAsia="Calibri"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F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51F0"/>
    <w:rPr>
      <w:rFonts w:ascii="Times New Roman" w:hAnsi="Times New Roman" w:cs="Times New Roman" w:hint="default"/>
      <w:color w:val="0000FF"/>
      <w:u w:val="single"/>
    </w:rPr>
  </w:style>
  <w:style w:type="paragraph" w:styleId="NormalWeb">
    <w:name w:val="Normal (Web)"/>
    <w:basedOn w:val="Normal"/>
    <w:uiPriority w:val="99"/>
    <w:unhideWhenUsed/>
    <w:rsid w:val="00A351F0"/>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ico.org.uk" TargetMode="External"/><Relationship Id="rId3" Type="http://schemas.microsoft.com/office/2007/relationships/stylesWithEffects" Target="stylesWithEffect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organisations/driver-and-vehicle-licensing-agency/about/personal-information-chart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1</cp:revision>
  <dcterms:created xsi:type="dcterms:W3CDTF">2018-05-25T11:06:00Z</dcterms:created>
  <dcterms:modified xsi:type="dcterms:W3CDTF">2018-05-25T11:10:00Z</dcterms:modified>
</cp:coreProperties>
</file>